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FE" w:rsidRPr="008C491F" w:rsidRDefault="006552FE" w:rsidP="006463A5">
      <w:pPr>
        <w:jc w:val="center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國立彰化師範大學物理學系</w:t>
      </w:r>
      <w:r w:rsidR="00D21FE4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暨</w:t>
      </w: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光電科技研究所</w:t>
      </w:r>
      <w:proofErr w:type="gramStart"/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教師</w:t>
      </w:r>
      <w:r w:rsidR="003D4F19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超授鐘點</w:t>
      </w:r>
      <w:proofErr w:type="gramEnd"/>
      <w:r w:rsidR="003D4F19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回饋辦法</w:t>
      </w:r>
    </w:p>
    <w:p w:rsidR="006552FE" w:rsidRPr="008C491F" w:rsidRDefault="006552FE" w:rsidP="003D4F19">
      <w:pPr>
        <w:wordWrap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8C49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</w:t>
      </w:r>
      <w:r w:rsidR="003D4F19" w:rsidRPr="008C49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4</w:t>
      </w:r>
      <w:r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年</w:t>
      </w:r>
      <w:r w:rsidR="003D4F19" w:rsidRPr="008C49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</w:t>
      </w:r>
      <w:r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月</w:t>
      </w:r>
      <w:r w:rsidR="003D4F19" w:rsidRPr="008C49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24</w:t>
      </w:r>
      <w:r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日</w:t>
      </w:r>
      <w:r w:rsidR="003D4F19"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空間經費委員會</w:t>
      </w:r>
      <w:r w:rsidR="002B48BA"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通過</w:t>
      </w:r>
    </w:p>
    <w:p w:rsidR="006463A5" w:rsidRPr="008C491F" w:rsidRDefault="006F596B" w:rsidP="003D4F19">
      <w:pPr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8C491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</w:t>
      </w:r>
      <w:r w:rsidR="00262FF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5</w:t>
      </w:r>
      <w:r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年</w:t>
      </w:r>
      <w:r w:rsidR="00262FF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月</w:t>
      </w:r>
      <w:r w:rsidR="00262FF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7</w:t>
      </w:r>
      <w:r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日</w:t>
      </w:r>
      <w:r w:rsidR="003D4F19"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系</w:t>
      </w:r>
      <w:r w:rsidR="006463A5"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所</w:t>
      </w:r>
      <w:proofErr w:type="gramStart"/>
      <w:r w:rsidR="006463A5"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務</w:t>
      </w:r>
      <w:proofErr w:type="gramEnd"/>
      <w:r w:rsidR="006463A5" w:rsidRPr="008C491F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聯席會議通過</w:t>
      </w:r>
    </w:p>
    <w:p w:rsidR="00FA1830" w:rsidRPr="008C491F" w:rsidRDefault="00FA1830" w:rsidP="00FD25E2">
      <w:pPr>
        <w:jc w:val="righ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</w:p>
    <w:p w:rsidR="00E47918" w:rsidRPr="00E47918" w:rsidRDefault="00E47918" w:rsidP="00225D92">
      <w:pPr>
        <w:pStyle w:val="a3"/>
        <w:numPr>
          <w:ilvl w:val="0"/>
          <w:numId w:val="2"/>
        </w:numPr>
        <w:snapToGrid w:val="0"/>
        <w:spacing w:line="360" w:lineRule="auto"/>
        <w:ind w:leftChars="-20" w:left="852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國立彰化師範大學</w:t>
      </w:r>
      <w:r w:rsidR="007503AB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物理學系暨光電科技研究</w:t>
      </w:r>
      <w:r w:rsidR="00D94CF8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所</w:t>
      </w:r>
      <w:r w:rsidR="00F0403B" w:rsidRPr="008C491F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(</w:t>
      </w:r>
      <w:r w:rsidR="00F0403B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以下簡稱本系所</w:t>
      </w:r>
      <w:r w:rsidR="00F0403B" w:rsidRPr="008C491F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為</w:t>
      </w:r>
      <w:proofErr w:type="gramStart"/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回饋</w:t>
      </w: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超授鐘點</w:t>
      </w:r>
      <w:proofErr w:type="gramEnd"/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之教師</w:t>
      </w:r>
      <w:r w:rsidR="006E27D7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，</w:t>
      </w:r>
      <w:r w:rsidR="007503AB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特</w:t>
      </w:r>
      <w:r w:rsidR="00FA1830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訂定</w:t>
      </w:r>
      <w:r>
        <w:rPr>
          <w:rFonts w:ascii="Times New Roman" w:eastAsia="標楷體" w:hAnsi="標楷體" w:cs="Times New Roman"/>
          <w:color w:val="000000" w:themeColor="text1"/>
          <w:sz w:val="30"/>
          <w:szCs w:val="30"/>
        </w:rPr>
        <w:t>「</w:t>
      </w: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國立彰化師範大學物理學系暨光電科技研究所</w:t>
      </w:r>
      <w:proofErr w:type="gramStart"/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教師超授鐘點</w:t>
      </w:r>
      <w:proofErr w:type="gramEnd"/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回饋辦法</w:t>
      </w:r>
      <w:r>
        <w:rPr>
          <w:rFonts w:ascii="Times New Roman" w:eastAsia="標楷體" w:hAnsi="標楷體" w:cs="Times New Roman"/>
          <w:color w:val="000000" w:themeColor="text1"/>
          <w:sz w:val="30"/>
          <w:szCs w:val="30"/>
        </w:rPr>
        <w:t>」（</w:t>
      </w: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以下簡稱</w:t>
      </w:r>
      <w:r w:rsidR="00F0403B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本辦法</w:t>
      </w:r>
      <w:r>
        <w:rPr>
          <w:rFonts w:ascii="Times New Roman" w:eastAsia="標楷體" w:hAnsi="標楷體" w:cs="Times New Roman"/>
          <w:color w:val="000000" w:themeColor="text1"/>
          <w:sz w:val="30"/>
          <w:szCs w:val="30"/>
        </w:rPr>
        <w:t>）</w:t>
      </w:r>
      <w:r w:rsidR="00FA1830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。</w:t>
      </w:r>
    </w:p>
    <w:p w:rsidR="00F0403B" w:rsidRPr="00262FFC" w:rsidRDefault="00F0403B" w:rsidP="008C491F">
      <w:pPr>
        <w:pStyle w:val="a3"/>
        <w:numPr>
          <w:ilvl w:val="0"/>
          <w:numId w:val="2"/>
        </w:numPr>
        <w:snapToGrid w:val="0"/>
        <w:spacing w:line="360" w:lineRule="auto"/>
        <w:ind w:leftChars="-20" w:left="852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本辦法</w:t>
      </w:r>
      <w:r w:rsidR="00C77057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施行</w:t>
      </w: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所需</w:t>
      </w:r>
      <w:r w:rsidR="00C77057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之</w:t>
      </w: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經費由</w:t>
      </w:r>
      <w:r w:rsidRPr="00262FFC">
        <w:rPr>
          <w:rFonts w:ascii="Times New Roman" w:eastAsia="標楷體" w:hAnsi="標楷體" w:cs="Times New Roman"/>
          <w:sz w:val="30"/>
          <w:szCs w:val="30"/>
        </w:rPr>
        <w:t>本系所</w:t>
      </w:r>
      <w:r w:rsidR="005C1A98" w:rsidRPr="00262FFC">
        <w:rPr>
          <w:rFonts w:ascii="Times New Roman" w:eastAsia="標楷體" w:hAnsi="標楷體" w:cs="Times New Roman"/>
          <w:sz w:val="30"/>
          <w:szCs w:val="30"/>
        </w:rPr>
        <w:t>預算</w:t>
      </w:r>
      <w:r w:rsidRPr="00262FFC">
        <w:rPr>
          <w:rFonts w:ascii="Times New Roman" w:eastAsia="標楷體" w:hAnsi="標楷體" w:cs="Times New Roman"/>
          <w:sz w:val="30"/>
          <w:szCs w:val="30"/>
        </w:rPr>
        <w:t>支應。</w:t>
      </w:r>
    </w:p>
    <w:p w:rsidR="00D94CF8" w:rsidRPr="008C491F" w:rsidRDefault="00D94CF8" w:rsidP="00F81D42">
      <w:pPr>
        <w:pStyle w:val="a3"/>
        <w:numPr>
          <w:ilvl w:val="0"/>
          <w:numId w:val="2"/>
        </w:numPr>
        <w:snapToGrid w:val="0"/>
        <w:spacing w:line="360" w:lineRule="auto"/>
        <w:ind w:leftChars="0" w:left="900" w:hangingChars="300" w:hanging="900"/>
        <w:jc w:val="both"/>
        <w:rPr>
          <w:rFonts w:ascii="Times New Roman" w:eastAsia="標楷體" w:hAnsi="Times New Roman" w:cs="Times New Roman"/>
          <w:sz w:val="30"/>
          <w:szCs w:val="30"/>
        </w:rPr>
      </w:pPr>
      <w:proofErr w:type="gramStart"/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超授鐘點</w:t>
      </w:r>
      <w:proofErr w:type="gramEnd"/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之</w:t>
      </w:r>
      <w:r w:rsidR="00F0403B" w:rsidRPr="008C491F">
        <w:rPr>
          <w:rFonts w:ascii="Times New Roman" w:eastAsia="標楷體" w:hAnsi="標楷體" w:cs="Times New Roman"/>
          <w:kern w:val="0"/>
          <w:sz w:val="30"/>
          <w:szCs w:val="30"/>
        </w:rPr>
        <w:t>教師</w:t>
      </w: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可選擇系所</w:t>
      </w:r>
      <w:r w:rsidR="00F0403B" w:rsidRPr="008C491F">
        <w:rPr>
          <w:rFonts w:ascii="Times New Roman" w:eastAsia="標楷體" w:hAnsi="標楷體" w:cs="Times New Roman"/>
          <w:kern w:val="0"/>
          <w:sz w:val="30"/>
          <w:szCs w:val="30"/>
        </w:rPr>
        <w:t>回饋方式</w:t>
      </w: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如下，惟兩者僅得擇</w:t>
      </w:r>
      <w:proofErr w:type="gramStart"/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一</w:t>
      </w:r>
      <w:proofErr w:type="gramEnd"/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：</w:t>
      </w:r>
    </w:p>
    <w:p w:rsidR="00D94CF8" w:rsidRPr="008C491F" w:rsidRDefault="00173513" w:rsidP="00173513">
      <w:pPr>
        <w:pStyle w:val="a3"/>
        <w:snapToGrid w:val="0"/>
        <w:spacing w:line="360" w:lineRule="auto"/>
        <w:ind w:leftChars="0" w:left="900"/>
        <w:jc w:val="both"/>
        <w:rPr>
          <w:rFonts w:ascii="Times New Roman" w:eastAsia="標楷體" w:hAnsi="Times New Roman" w:cs="Times New Roman"/>
          <w:color w:val="000000"/>
          <w:sz w:val="30"/>
          <w:szCs w:val="30"/>
        </w:rPr>
      </w:pP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（一）</w:t>
      </w:r>
      <w:r w:rsidR="00016B8D" w:rsidRPr="008C491F">
        <w:rPr>
          <w:rFonts w:ascii="Times New Roman" w:eastAsia="標楷體" w:hAnsi="標楷體" w:cs="Times New Roman"/>
          <w:color w:val="000000"/>
          <w:sz w:val="30"/>
          <w:szCs w:val="30"/>
        </w:rPr>
        <w:t>降低次一學期</w:t>
      </w:r>
      <w:r w:rsidR="00D94CF8" w:rsidRPr="008C491F">
        <w:rPr>
          <w:rFonts w:ascii="Times New Roman" w:eastAsia="標楷體" w:hAnsi="標楷體" w:cs="Times New Roman"/>
          <w:color w:val="000000"/>
          <w:sz w:val="30"/>
          <w:szCs w:val="30"/>
        </w:rPr>
        <w:t>應</w:t>
      </w:r>
      <w:r w:rsidR="00F81D42" w:rsidRPr="008C491F">
        <w:rPr>
          <w:rFonts w:ascii="Times New Roman" w:eastAsia="標楷體" w:hAnsi="標楷體" w:cs="Times New Roman"/>
          <w:color w:val="000000"/>
          <w:sz w:val="30"/>
          <w:szCs w:val="30"/>
        </w:rPr>
        <w:t>授課</w:t>
      </w:r>
      <w:r w:rsidR="00B93F26" w:rsidRPr="008C491F">
        <w:rPr>
          <w:rFonts w:ascii="Times New Roman" w:eastAsia="標楷體" w:hAnsi="標楷體" w:cs="Times New Roman"/>
          <w:color w:val="000000"/>
          <w:sz w:val="30"/>
          <w:szCs w:val="30"/>
        </w:rPr>
        <w:t>之</w:t>
      </w:r>
      <w:r w:rsidR="00F81D42" w:rsidRPr="008C491F">
        <w:rPr>
          <w:rFonts w:ascii="Times New Roman" w:eastAsia="標楷體" w:hAnsi="標楷體" w:cs="Times New Roman"/>
          <w:color w:val="000000"/>
          <w:sz w:val="30"/>
          <w:szCs w:val="30"/>
        </w:rPr>
        <w:t>時數</w:t>
      </w:r>
      <w:r w:rsidRPr="008C491F">
        <w:rPr>
          <w:rFonts w:ascii="Times New Roman" w:eastAsia="標楷體" w:hAnsi="標楷體" w:cs="Times New Roman"/>
          <w:color w:val="000000"/>
          <w:sz w:val="30"/>
          <w:szCs w:val="30"/>
        </w:rPr>
        <w:t>。</w:t>
      </w:r>
    </w:p>
    <w:p w:rsidR="00D94CF8" w:rsidRPr="008C491F" w:rsidRDefault="00173513" w:rsidP="00173513">
      <w:pPr>
        <w:pStyle w:val="a3"/>
        <w:snapToGrid w:val="0"/>
        <w:spacing w:line="360" w:lineRule="auto"/>
        <w:ind w:leftChars="0" w:left="900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8C491F">
        <w:rPr>
          <w:rFonts w:ascii="Times New Roman" w:eastAsia="標楷體" w:hAnsi="標楷體" w:cs="Times New Roman"/>
          <w:color w:val="000000"/>
          <w:sz w:val="30"/>
          <w:szCs w:val="30"/>
        </w:rPr>
        <w:t>（二）</w:t>
      </w:r>
      <w:r w:rsidR="00EA5B56" w:rsidRPr="008C491F">
        <w:rPr>
          <w:rFonts w:ascii="Times New Roman" w:eastAsia="標楷體" w:hAnsi="標楷體" w:cs="Times New Roman"/>
          <w:kern w:val="0"/>
          <w:sz w:val="30"/>
          <w:szCs w:val="30"/>
        </w:rPr>
        <w:t>由</w:t>
      </w:r>
      <w:r w:rsidR="00F0403B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本系所</w:t>
      </w:r>
      <w:r w:rsidR="005C1A98" w:rsidRPr="00262FFC">
        <w:rPr>
          <w:rFonts w:ascii="Times New Roman" w:eastAsia="標楷體" w:hAnsi="標楷體" w:cs="Times New Roman"/>
          <w:sz w:val="30"/>
          <w:szCs w:val="30"/>
        </w:rPr>
        <w:t>預算</w:t>
      </w:r>
      <w:r w:rsidR="00EA5B56" w:rsidRPr="00262FFC">
        <w:rPr>
          <w:rFonts w:ascii="Times New Roman" w:eastAsia="標楷體" w:hAnsi="標楷體" w:cs="Times New Roman"/>
          <w:kern w:val="0"/>
          <w:sz w:val="30"/>
          <w:szCs w:val="30"/>
        </w:rPr>
        <w:t>補貼</w:t>
      </w:r>
      <w:r w:rsidR="005C1A98">
        <w:rPr>
          <w:rFonts w:ascii="Times New Roman" w:eastAsia="標楷體" w:hAnsi="標楷體" w:cs="Times New Roman"/>
          <w:kern w:val="0"/>
          <w:sz w:val="30"/>
          <w:szCs w:val="30"/>
        </w:rPr>
        <w:t>教師之</w:t>
      </w:r>
      <w:r w:rsidR="00EA5B56" w:rsidRPr="008C491F">
        <w:rPr>
          <w:rFonts w:ascii="Times New Roman" w:eastAsia="標楷體" w:hAnsi="標楷體" w:cs="Times New Roman"/>
          <w:kern w:val="0"/>
          <w:sz w:val="30"/>
          <w:szCs w:val="30"/>
        </w:rPr>
        <w:t>教學研究</w:t>
      </w:r>
      <w:r w:rsidR="00D94CF8" w:rsidRPr="008C491F">
        <w:rPr>
          <w:rFonts w:ascii="Times New Roman" w:eastAsia="標楷體" w:hAnsi="標楷體" w:cs="Times New Roman"/>
          <w:kern w:val="0"/>
          <w:sz w:val="30"/>
          <w:szCs w:val="30"/>
        </w:rPr>
        <w:t>經費。</w:t>
      </w:r>
    </w:p>
    <w:p w:rsidR="00F81D42" w:rsidRPr="00792249" w:rsidRDefault="00F0403B" w:rsidP="005A5329">
      <w:pPr>
        <w:pStyle w:val="a3"/>
        <w:numPr>
          <w:ilvl w:val="0"/>
          <w:numId w:val="2"/>
        </w:numPr>
        <w:snapToGrid w:val="0"/>
        <w:spacing w:line="360" w:lineRule="auto"/>
        <w:ind w:leftChars="0" w:left="900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本系所於每學期</w:t>
      </w:r>
      <w:proofErr w:type="gramStart"/>
      <w:r w:rsidR="00C77057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期</w:t>
      </w:r>
      <w:proofErr w:type="gramEnd"/>
      <w:r w:rsidR="00C77057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初</w:t>
      </w: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召開課程委員會</w:t>
      </w:r>
      <w:r w:rsidR="00C77057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核算教師前一學期</w:t>
      </w:r>
      <w:proofErr w:type="gramStart"/>
      <w:r w:rsidR="00C77057"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之</w:t>
      </w:r>
      <w:r w:rsidR="00C77057" w:rsidRPr="008C491F">
        <w:rPr>
          <w:rFonts w:ascii="Times New Roman" w:eastAsia="標楷體" w:hAnsi="標楷體" w:cs="Times New Roman"/>
          <w:kern w:val="0"/>
          <w:sz w:val="30"/>
          <w:szCs w:val="30"/>
        </w:rPr>
        <w:t>超授鐘點</w:t>
      </w:r>
      <w:proofErr w:type="gramEnd"/>
      <w:r w:rsidR="00C77057" w:rsidRPr="008C491F">
        <w:rPr>
          <w:rFonts w:ascii="Times New Roman" w:eastAsia="標楷體" w:hAnsi="標楷體" w:cs="Times New Roman"/>
          <w:kern w:val="0"/>
          <w:sz w:val="30"/>
          <w:szCs w:val="30"/>
        </w:rPr>
        <w:t>數，並將核算結果</w:t>
      </w:r>
      <w:proofErr w:type="gramStart"/>
      <w:r w:rsidR="00C77057" w:rsidRPr="008C491F">
        <w:rPr>
          <w:rFonts w:ascii="Times New Roman" w:eastAsia="標楷體" w:hAnsi="標楷體" w:cs="Times New Roman"/>
          <w:kern w:val="0"/>
          <w:sz w:val="30"/>
          <w:szCs w:val="30"/>
        </w:rPr>
        <w:t>通知超授鐘點</w:t>
      </w:r>
      <w:proofErr w:type="gramEnd"/>
      <w:r w:rsidR="00C77057" w:rsidRPr="008C491F">
        <w:rPr>
          <w:rFonts w:ascii="Times New Roman" w:eastAsia="標楷體" w:hAnsi="標楷體" w:cs="Times New Roman"/>
          <w:kern w:val="0"/>
          <w:sz w:val="30"/>
          <w:szCs w:val="30"/>
        </w:rPr>
        <w:t>之教師。</w:t>
      </w:r>
      <w:proofErr w:type="gramStart"/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超授鐘點</w:t>
      </w:r>
      <w:proofErr w:type="gramEnd"/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之教師</w:t>
      </w:r>
      <w:proofErr w:type="gramStart"/>
      <w:r w:rsidR="00B37BA9">
        <w:rPr>
          <w:rFonts w:ascii="Times New Roman" w:eastAsia="標楷體" w:hAnsi="標楷體" w:cs="Times New Roman" w:hint="eastAsia"/>
          <w:kern w:val="0"/>
          <w:sz w:val="30"/>
          <w:szCs w:val="30"/>
        </w:rPr>
        <w:t>得</w:t>
      </w:r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於系所</w:t>
      </w:r>
      <w:proofErr w:type="gramEnd"/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公告受理之時限內向</w:t>
      </w:r>
      <w:r w:rsidR="00C33D11">
        <w:rPr>
          <w:rFonts w:ascii="Times New Roman" w:eastAsia="標楷體" w:hAnsi="標楷體" w:cs="Times New Roman" w:hint="eastAsia"/>
          <w:kern w:val="0"/>
          <w:sz w:val="30"/>
          <w:szCs w:val="30"/>
        </w:rPr>
        <w:t>本系所</w:t>
      </w:r>
      <w:r w:rsidR="00C77057" w:rsidRPr="008C491F">
        <w:rPr>
          <w:rFonts w:ascii="Times New Roman" w:eastAsia="標楷體" w:hAnsi="標楷體" w:cs="Times New Roman"/>
          <w:kern w:val="0"/>
          <w:sz w:val="30"/>
          <w:szCs w:val="30"/>
        </w:rPr>
        <w:t>空間經費委員會申請</w:t>
      </w:r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補貼教學研究經費，逾期則不受理</w:t>
      </w:r>
      <w:r w:rsidR="00C77057" w:rsidRPr="008C491F">
        <w:rPr>
          <w:rFonts w:ascii="Times New Roman" w:eastAsia="標楷體" w:hAnsi="標楷體" w:cs="Times New Roman"/>
          <w:kern w:val="0"/>
          <w:sz w:val="30"/>
          <w:szCs w:val="30"/>
        </w:rPr>
        <w:t>。</w:t>
      </w:r>
    </w:p>
    <w:p w:rsidR="005A5329" w:rsidRPr="008C491F" w:rsidRDefault="00C33D11" w:rsidP="00CE3F93">
      <w:pPr>
        <w:pStyle w:val="a3"/>
        <w:numPr>
          <w:ilvl w:val="0"/>
          <w:numId w:val="2"/>
        </w:numPr>
        <w:snapToGrid w:val="0"/>
        <w:spacing w:line="360" w:lineRule="auto"/>
        <w:ind w:leftChars="0" w:left="900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kern w:val="0"/>
          <w:sz w:val="30"/>
          <w:szCs w:val="30"/>
        </w:rPr>
        <w:t>本系所</w:t>
      </w:r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補貼</w:t>
      </w:r>
      <w:r>
        <w:rPr>
          <w:rFonts w:ascii="Times New Roman" w:eastAsia="標楷體" w:hAnsi="標楷體" w:cs="Times New Roman"/>
          <w:kern w:val="0"/>
          <w:sz w:val="30"/>
          <w:szCs w:val="30"/>
        </w:rPr>
        <w:t>之</w:t>
      </w:r>
      <w:r w:rsidR="005A5329" w:rsidRPr="008C491F">
        <w:rPr>
          <w:rFonts w:ascii="Times New Roman" w:eastAsia="標楷體" w:hAnsi="標楷體" w:cs="Times New Roman"/>
          <w:kern w:val="0"/>
          <w:sz w:val="30"/>
          <w:szCs w:val="30"/>
        </w:rPr>
        <w:t>教學研究經費以教師</w:t>
      </w:r>
      <w:r w:rsidR="00451FFC" w:rsidRPr="008C491F">
        <w:rPr>
          <w:rFonts w:ascii="Times New Roman" w:eastAsia="標楷體" w:hAnsi="標楷體" w:cs="Times New Roman"/>
          <w:kern w:val="0"/>
          <w:sz w:val="30"/>
          <w:szCs w:val="30"/>
        </w:rPr>
        <w:t>依本校</w:t>
      </w:r>
      <w:r w:rsidR="00451FFC" w:rsidRPr="008C491F">
        <w:rPr>
          <w:rFonts w:ascii="Times New Roman" w:eastAsia="標楷體" w:hAnsi="標楷體" w:cs="Times New Roman"/>
          <w:sz w:val="30"/>
          <w:szCs w:val="30"/>
        </w:rPr>
        <w:t>教師授課時數及超支鐘點費核計辦法原可</w:t>
      </w:r>
      <w:r w:rsidR="00151D5B" w:rsidRPr="00151D5B">
        <w:rPr>
          <w:rFonts w:ascii="Times New Roman" w:eastAsia="標楷體" w:hAnsi="標楷體" w:cs="Times New Roman" w:hint="eastAsia"/>
          <w:color w:val="FF0000"/>
          <w:sz w:val="30"/>
          <w:szCs w:val="30"/>
        </w:rPr>
        <w:t>領</w:t>
      </w:r>
      <w:r w:rsidR="00451FFC" w:rsidRPr="008C491F">
        <w:rPr>
          <w:rFonts w:ascii="Times New Roman" w:eastAsia="標楷體" w:hAnsi="標楷體" w:cs="Times New Roman"/>
          <w:sz w:val="30"/>
          <w:szCs w:val="30"/>
        </w:rPr>
        <w:t>取之鐘點費</w:t>
      </w:r>
      <w:r>
        <w:rPr>
          <w:rFonts w:ascii="Times New Roman" w:eastAsia="標楷體" w:hAnsi="標楷體" w:cs="Times New Roman"/>
          <w:sz w:val="30"/>
          <w:szCs w:val="30"/>
        </w:rPr>
        <w:t>金</w:t>
      </w:r>
      <w:r>
        <w:rPr>
          <w:rFonts w:ascii="Times New Roman" w:eastAsia="標楷體" w:hAnsi="標楷體" w:cs="Times New Roman" w:hint="eastAsia"/>
          <w:sz w:val="30"/>
          <w:szCs w:val="30"/>
        </w:rPr>
        <w:t>額</w:t>
      </w:r>
      <w:r w:rsidR="00451FFC" w:rsidRPr="008C491F">
        <w:rPr>
          <w:rFonts w:ascii="Times New Roman" w:eastAsia="標楷體" w:hAnsi="標楷體" w:cs="Times New Roman"/>
          <w:sz w:val="30"/>
          <w:szCs w:val="30"/>
        </w:rPr>
        <w:t>為原則，惟全系所每學期</w:t>
      </w:r>
      <w:r w:rsidR="00451FFC" w:rsidRPr="008C491F">
        <w:rPr>
          <w:rFonts w:ascii="Times New Roman" w:eastAsia="標楷體" w:hAnsi="標楷體" w:cs="Times New Roman"/>
          <w:kern w:val="0"/>
          <w:sz w:val="30"/>
          <w:szCs w:val="30"/>
        </w:rPr>
        <w:t>補貼之經費總額不得逾</w:t>
      </w:r>
      <w:r w:rsidR="00451FFC" w:rsidRPr="008C491F">
        <w:rPr>
          <w:rFonts w:ascii="Times New Roman" w:eastAsia="標楷體" w:hAnsi="Times New Roman" w:cs="Times New Roman"/>
          <w:kern w:val="0"/>
          <w:sz w:val="30"/>
          <w:szCs w:val="30"/>
        </w:rPr>
        <w:t>15</w:t>
      </w:r>
      <w:r w:rsidR="00451FFC" w:rsidRPr="008C491F">
        <w:rPr>
          <w:rFonts w:ascii="Times New Roman" w:eastAsia="標楷體" w:hAnsi="標楷體" w:cs="Times New Roman"/>
          <w:kern w:val="0"/>
          <w:sz w:val="30"/>
          <w:szCs w:val="30"/>
        </w:rPr>
        <w:t>萬元。若該學期全系所申請補貼之總金額逾</w:t>
      </w:r>
      <w:r w:rsidR="00451FFC" w:rsidRPr="008C491F">
        <w:rPr>
          <w:rFonts w:ascii="Times New Roman" w:eastAsia="標楷體" w:hAnsi="Times New Roman" w:cs="Times New Roman"/>
          <w:kern w:val="0"/>
          <w:sz w:val="30"/>
          <w:szCs w:val="30"/>
        </w:rPr>
        <w:t>15</w:t>
      </w:r>
      <w:r w:rsidR="00451FFC" w:rsidRPr="008C491F">
        <w:rPr>
          <w:rFonts w:ascii="Times New Roman" w:eastAsia="標楷體" w:hAnsi="標楷體" w:cs="Times New Roman"/>
          <w:kern w:val="0"/>
          <w:sz w:val="30"/>
          <w:szCs w:val="30"/>
        </w:rPr>
        <w:t>萬元，則依各</w:t>
      </w:r>
      <w:r w:rsidR="00792249">
        <w:rPr>
          <w:rFonts w:ascii="Times New Roman" w:eastAsia="標楷體" w:hAnsi="標楷體" w:cs="Times New Roman" w:hint="eastAsia"/>
          <w:kern w:val="0"/>
          <w:sz w:val="30"/>
          <w:szCs w:val="30"/>
        </w:rPr>
        <w:t>申請</w:t>
      </w:r>
      <w:r w:rsidR="00451FFC" w:rsidRPr="008C491F">
        <w:rPr>
          <w:rFonts w:ascii="Times New Roman" w:eastAsia="標楷體" w:hAnsi="標楷體" w:cs="Times New Roman"/>
          <w:kern w:val="0"/>
          <w:sz w:val="30"/>
          <w:szCs w:val="30"/>
        </w:rPr>
        <w:t>教師原可獲得補助金額</w:t>
      </w:r>
      <w:r w:rsidR="00792249" w:rsidRPr="008C491F">
        <w:rPr>
          <w:rFonts w:ascii="Times New Roman" w:eastAsia="標楷體" w:hAnsi="標楷體" w:cs="Times New Roman"/>
          <w:kern w:val="0"/>
          <w:sz w:val="30"/>
          <w:szCs w:val="30"/>
        </w:rPr>
        <w:t>之</w:t>
      </w:r>
      <w:r w:rsidR="00451FFC" w:rsidRPr="008C491F">
        <w:rPr>
          <w:rFonts w:ascii="Times New Roman" w:eastAsia="標楷體" w:hAnsi="標楷體" w:cs="Times New Roman"/>
          <w:kern w:val="0"/>
          <w:sz w:val="30"/>
          <w:szCs w:val="30"/>
        </w:rPr>
        <w:t>比例</w:t>
      </w:r>
      <w:r w:rsidR="00CE3F93" w:rsidRPr="008C491F">
        <w:rPr>
          <w:rFonts w:ascii="Times New Roman" w:eastAsia="標楷體" w:hAnsi="標楷體" w:cs="Times New Roman"/>
          <w:kern w:val="0"/>
          <w:sz w:val="30"/>
          <w:szCs w:val="30"/>
        </w:rPr>
        <w:t>分配。</w:t>
      </w:r>
    </w:p>
    <w:p w:rsidR="00CE3F93" w:rsidRPr="00792249" w:rsidRDefault="00B40A08" w:rsidP="008C491F">
      <w:pPr>
        <w:pStyle w:val="a3"/>
        <w:numPr>
          <w:ilvl w:val="0"/>
          <w:numId w:val="2"/>
        </w:numPr>
        <w:snapToGrid w:val="0"/>
        <w:spacing w:line="360" w:lineRule="auto"/>
        <w:ind w:leftChars="0" w:left="900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kern w:val="0"/>
          <w:sz w:val="30"/>
          <w:szCs w:val="30"/>
        </w:rPr>
        <w:t>本校其他</w:t>
      </w:r>
      <w:r w:rsidR="00CE3F93" w:rsidRPr="008C491F">
        <w:rPr>
          <w:rFonts w:ascii="Times New Roman" w:eastAsia="標楷體" w:hAnsi="標楷體" w:cs="Times New Roman"/>
          <w:kern w:val="0"/>
          <w:sz w:val="30"/>
          <w:szCs w:val="30"/>
        </w:rPr>
        <w:t>系所教師若因受本系所請託支援本系所開課造成其超</w:t>
      </w:r>
      <w:r w:rsidR="00CE3F93" w:rsidRPr="008C491F">
        <w:rPr>
          <w:rFonts w:ascii="Times New Roman" w:eastAsia="標楷體" w:hAnsi="標楷體" w:cs="Times New Roman"/>
          <w:sz w:val="30"/>
          <w:szCs w:val="30"/>
        </w:rPr>
        <w:t>支鐘點費逾本校規定之上限而無法領取時，其無法領取之金額由本系所</w:t>
      </w:r>
      <w:r w:rsidR="005C1A98">
        <w:rPr>
          <w:rFonts w:ascii="Times New Roman" w:eastAsia="標楷體" w:hAnsi="標楷體" w:cs="Times New Roman"/>
          <w:sz w:val="30"/>
          <w:szCs w:val="30"/>
        </w:rPr>
        <w:t>全額</w:t>
      </w:r>
      <w:r w:rsidR="00CE3F93" w:rsidRPr="008C491F">
        <w:rPr>
          <w:rFonts w:ascii="Times New Roman" w:eastAsia="標楷體" w:hAnsi="標楷體" w:cs="Times New Roman"/>
          <w:kern w:val="0"/>
          <w:sz w:val="30"/>
          <w:szCs w:val="30"/>
        </w:rPr>
        <w:t>補貼其教學研究經費，且不受本</w:t>
      </w:r>
      <w:r w:rsidR="008C491F" w:rsidRPr="008C491F">
        <w:rPr>
          <w:rFonts w:ascii="Times New Roman" w:eastAsia="標楷體" w:hAnsi="標楷體" w:cs="Times New Roman"/>
          <w:kern w:val="0"/>
          <w:sz w:val="30"/>
          <w:szCs w:val="30"/>
        </w:rPr>
        <w:t>辦法第</w:t>
      </w:r>
      <w:r w:rsidR="005C1A98">
        <w:rPr>
          <w:rFonts w:ascii="Times New Roman" w:eastAsia="標楷體" w:hAnsi="標楷體" w:cs="Times New Roman"/>
          <w:kern w:val="0"/>
          <w:sz w:val="30"/>
          <w:szCs w:val="30"/>
        </w:rPr>
        <w:t>五</w:t>
      </w:r>
      <w:r w:rsidR="008C491F" w:rsidRPr="008C491F">
        <w:rPr>
          <w:rFonts w:ascii="Times New Roman" w:eastAsia="標楷體" w:hAnsi="標楷體" w:cs="Times New Roman"/>
          <w:kern w:val="0"/>
          <w:sz w:val="30"/>
          <w:szCs w:val="30"/>
        </w:rPr>
        <w:t>條之限制。</w:t>
      </w:r>
    </w:p>
    <w:p w:rsidR="00792249" w:rsidRPr="00792249" w:rsidRDefault="00792249" w:rsidP="00792249">
      <w:pPr>
        <w:pStyle w:val="a3"/>
        <w:numPr>
          <w:ilvl w:val="0"/>
          <w:numId w:val="2"/>
        </w:numPr>
        <w:snapToGrid w:val="0"/>
        <w:spacing w:line="360" w:lineRule="auto"/>
        <w:ind w:leftChars="0" w:left="900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kern w:val="0"/>
          <w:sz w:val="30"/>
          <w:szCs w:val="30"/>
        </w:rPr>
        <w:t>本系所</w:t>
      </w: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空間經費委員會</w:t>
      </w:r>
      <w:proofErr w:type="gramStart"/>
      <w:r>
        <w:rPr>
          <w:rFonts w:ascii="Times New Roman" w:eastAsia="標楷體" w:hAnsi="標楷體" w:cs="Times New Roman" w:hint="eastAsia"/>
          <w:kern w:val="0"/>
          <w:sz w:val="30"/>
          <w:szCs w:val="30"/>
        </w:rPr>
        <w:t>受理</w:t>
      </w: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超授鐘點</w:t>
      </w:r>
      <w:proofErr w:type="gramEnd"/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之教師申請補貼教學研究經費</w:t>
      </w:r>
      <w:r>
        <w:rPr>
          <w:rFonts w:ascii="Times New Roman" w:eastAsia="標楷體" w:hAnsi="標楷體" w:cs="Times New Roman" w:hint="eastAsia"/>
          <w:kern w:val="0"/>
          <w:sz w:val="30"/>
          <w:szCs w:val="30"/>
        </w:rPr>
        <w:t>後</w:t>
      </w: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，</w:t>
      </w:r>
      <w:r>
        <w:rPr>
          <w:rFonts w:ascii="Times New Roman" w:eastAsia="標楷體" w:hAnsi="標楷體" w:cs="Times New Roman" w:hint="eastAsia"/>
          <w:kern w:val="0"/>
          <w:sz w:val="30"/>
          <w:szCs w:val="30"/>
        </w:rPr>
        <w:t>應於一個月內召開會議並核算應分配之金額。</w:t>
      </w:r>
    </w:p>
    <w:p w:rsidR="00CE3F93" w:rsidRPr="00E47918" w:rsidRDefault="00CE3F93" w:rsidP="00CE3F93">
      <w:pPr>
        <w:pStyle w:val="a3"/>
        <w:numPr>
          <w:ilvl w:val="0"/>
          <w:numId w:val="2"/>
        </w:numPr>
        <w:snapToGrid w:val="0"/>
        <w:spacing w:line="360" w:lineRule="auto"/>
        <w:ind w:leftChars="0" w:left="900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教師獲分配之補貼經費僅限於教學或研究</w:t>
      </w:r>
      <w:r w:rsidR="008C491F" w:rsidRPr="008C491F">
        <w:rPr>
          <w:rFonts w:ascii="Times New Roman" w:eastAsia="標楷體" w:hAnsi="標楷體" w:cs="Times New Roman"/>
          <w:kern w:val="0"/>
          <w:sz w:val="30"/>
          <w:szCs w:val="30"/>
        </w:rPr>
        <w:t>之用，且須於獲分配當年</w:t>
      </w:r>
      <w:r w:rsidR="008C491F" w:rsidRPr="008C491F">
        <w:rPr>
          <w:rFonts w:ascii="Times New Roman" w:eastAsia="標楷體" w:hAnsi="Times New Roman" w:cs="Times New Roman"/>
          <w:kern w:val="0"/>
          <w:sz w:val="30"/>
          <w:szCs w:val="30"/>
        </w:rPr>
        <w:t>11</w:t>
      </w:r>
      <w:r w:rsidR="008C491F" w:rsidRPr="008C491F">
        <w:rPr>
          <w:rFonts w:ascii="Times New Roman" w:eastAsia="標楷體" w:hAnsi="標楷體" w:cs="Times New Roman"/>
          <w:kern w:val="0"/>
          <w:sz w:val="30"/>
          <w:szCs w:val="30"/>
        </w:rPr>
        <w:t>月底前使用完畢。逾期未使用之額度由本系所收回，不再補發。</w:t>
      </w:r>
    </w:p>
    <w:p w:rsidR="00E47918" w:rsidRPr="008C491F" w:rsidRDefault="00E47918" w:rsidP="00E47918">
      <w:pPr>
        <w:pStyle w:val="a3"/>
        <w:numPr>
          <w:ilvl w:val="0"/>
          <w:numId w:val="2"/>
        </w:numPr>
        <w:snapToGrid w:val="0"/>
        <w:spacing w:line="360" w:lineRule="auto"/>
        <w:ind w:leftChars="-20" w:left="852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25D92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lastRenderedPageBreak/>
        <w:t>本辦法配合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「</w:t>
      </w:r>
      <w:r w:rsidRPr="008C491F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國立彰化師範大學物理學系暨光電科技研究所</w:t>
      </w:r>
      <w:r w:rsidRPr="00225D92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教師</w:t>
      </w:r>
      <w:r w:rsidRPr="00225D92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合理開課數試辦原則</w:t>
      </w:r>
      <w:r>
        <w:rPr>
          <w:rFonts w:ascii="Times New Roman" w:eastAsia="標楷體" w:hAnsi="標楷體" w:cs="Times New Roman"/>
          <w:color w:val="000000" w:themeColor="text1"/>
          <w:sz w:val="30"/>
          <w:szCs w:val="30"/>
        </w:rPr>
        <w:t>」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施行。</w:t>
      </w:r>
      <w:r w:rsidRPr="00225D92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若該試辦原則停止適用，則本辦法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於本系所空間經費委員會分配完最近一學期之</w:t>
      </w:r>
      <w:r w:rsidRPr="008C491F">
        <w:rPr>
          <w:rFonts w:ascii="Times New Roman" w:eastAsia="標楷體" w:hAnsi="標楷體" w:cs="Times New Roman"/>
          <w:kern w:val="0"/>
          <w:sz w:val="30"/>
          <w:szCs w:val="30"/>
        </w:rPr>
        <w:t>補貼經費</w:t>
      </w:r>
      <w:r>
        <w:rPr>
          <w:rFonts w:ascii="Times New Roman" w:eastAsia="標楷體" w:hAnsi="標楷體" w:cs="Times New Roman" w:hint="eastAsia"/>
          <w:kern w:val="0"/>
          <w:sz w:val="30"/>
          <w:szCs w:val="30"/>
        </w:rPr>
        <w:t>後</w:t>
      </w:r>
      <w:r w:rsidRPr="00225D92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停止適用。</w:t>
      </w:r>
    </w:p>
    <w:p w:rsidR="00B37BA9" w:rsidRPr="00E47918" w:rsidRDefault="00B37BA9" w:rsidP="00E47918">
      <w:pPr>
        <w:pStyle w:val="a3"/>
        <w:numPr>
          <w:ilvl w:val="0"/>
          <w:numId w:val="2"/>
        </w:numPr>
        <w:snapToGrid w:val="0"/>
        <w:spacing w:line="360" w:lineRule="auto"/>
        <w:ind w:leftChars="0" w:left="900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E4791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本</w:t>
      </w:r>
      <w:r w:rsidRPr="00E47918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辦法</w:t>
      </w:r>
      <w:r w:rsidRPr="00E4791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未盡事宜，悉依本校相關辦法及系所</w:t>
      </w:r>
      <w:proofErr w:type="gramStart"/>
      <w:r w:rsidRPr="00E4791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務</w:t>
      </w:r>
      <w:proofErr w:type="gramEnd"/>
      <w:r w:rsidRPr="00E4791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會議決議辦理。</w:t>
      </w:r>
    </w:p>
    <w:p w:rsidR="007873B0" w:rsidRPr="00B37BA9" w:rsidRDefault="005F0C58" w:rsidP="00B37BA9">
      <w:pPr>
        <w:pStyle w:val="a3"/>
        <w:numPr>
          <w:ilvl w:val="0"/>
          <w:numId w:val="2"/>
        </w:numPr>
        <w:snapToGrid w:val="0"/>
        <w:spacing w:line="360" w:lineRule="auto"/>
        <w:ind w:leftChars="-20" w:left="852" w:hangingChars="300" w:hanging="9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B37BA9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本</w:t>
      </w:r>
      <w:r w:rsidR="008C491F" w:rsidRPr="00B37BA9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辦法</w:t>
      </w:r>
      <w:r w:rsidRPr="00B37BA9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經</w:t>
      </w:r>
      <w:r w:rsidR="008C491F" w:rsidRPr="00B37BA9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本系所</w:t>
      </w:r>
      <w:r w:rsidR="008C491F" w:rsidRPr="00B37BA9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空間經費委員會與</w:t>
      </w:r>
      <w:r w:rsidRPr="00B37BA9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系所</w:t>
      </w:r>
      <w:proofErr w:type="gramStart"/>
      <w:r w:rsidR="006E5C1D" w:rsidRPr="00B37BA9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務</w:t>
      </w:r>
      <w:proofErr w:type="gramEnd"/>
      <w:r w:rsidRPr="00B37BA9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會議通過後施行，修正時亦同。</w:t>
      </w:r>
    </w:p>
    <w:sectPr w:rsidR="007873B0" w:rsidRPr="00B37BA9" w:rsidSect="00792249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31" w:rsidRDefault="00A80F31" w:rsidP="00B467AE">
      <w:r>
        <w:separator/>
      </w:r>
    </w:p>
  </w:endnote>
  <w:endnote w:type="continuationSeparator" w:id="0">
    <w:p w:rsidR="00A80F31" w:rsidRDefault="00A80F31" w:rsidP="00B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31" w:rsidRDefault="00A80F31" w:rsidP="00B467AE">
      <w:r>
        <w:separator/>
      </w:r>
    </w:p>
  </w:footnote>
  <w:footnote w:type="continuationSeparator" w:id="0">
    <w:p w:rsidR="00A80F31" w:rsidRDefault="00A80F31" w:rsidP="00B4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2C9"/>
    <w:multiLevelType w:val="hybridMultilevel"/>
    <w:tmpl w:val="244CCE7A"/>
    <w:lvl w:ilvl="0" w:tplc="B6D69E6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96D89"/>
    <w:multiLevelType w:val="hybridMultilevel"/>
    <w:tmpl w:val="503A34FE"/>
    <w:lvl w:ilvl="0" w:tplc="6D782E9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D0516"/>
    <w:multiLevelType w:val="hybridMultilevel"/>
    <w:tmpl w:val="9606000C"/>
    <w:lvl w:ilvl="0" w:tplc="DF6A79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2E2652"/>
    <w:multiLevelType w:val="hybridMultilevel"/>
    <w:tmpl w:val="9606000C"/>
    <w:lvl w:ilvl="0" w:tplc="DF6A79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11FF2"/>
    <w:multiLevelType w:val="hybridMultilevel"/>
    <w:tmpl w:val="52DE9434"/>
    <w:lvl w:ilvl="0" w:tplc="647EA78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A73399"/>
    <w:multiLevelType w:val="hybridMultilevel"/>
    <w:tmpl w:val="4CE2E76C"/>
    <w:lvl w:ilvl="0" w:tplc="D832A5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9C56A5"/>
    <w:multiLevelType w:val="hybridMultilevel"/>
    <w:tmpl w:val="7F485434"/>
    <w:lvl w:ilvl="0" w:tplc="DF6A79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3F380F"/>
    <w:multiLevelType w:val="hybridMultilevel"/>
    <w:tmpl w:val="010C7614"/>
    <w:lvl w:ilvl="0" w:tplc="07E4312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7E1481"/>
    <w:multiLevelType w:val="hybridMultilevel"/>
    <w:tmpl w:val="7BD06EF4"/>
    <w:lvl w:ilvl="0" w:tplc="67C0A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60A2B0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9B4F23"/>
    <w:multiLevelType w:val="hybridMultilevel"/>
    <w:tmpl w:val="D452092A"/>
    <w:lvl w:ilvl="0" w:tplc="D832A594">
      <w:start w:val="3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3"/>
    <w:rsid w:val="00006320"/>
    <w:rsid w:val="00007BD1"/>
    <w:rsid w:val="0001616B"/>
    <w:rsid w:val="00016B8D"/>
    <w:rsid w:val="00030778"/>
    <w:rsid w:val="000C2A2B"/>
    <w:rsid w:val="000E0878"/>
    <w:rsid w:val="000F2C93"/>
    <w:rsid w:val="00151D5B"/>
    <w:rsid w:val="001606ED"/>
    <w:rsid w:val="00173513"/>
    <w:rsid w:val="001D6842"/>
    <w:rsid w:val="001D7249"/>
    <w:rsid w:val="00225D92"/>
    <w:rsid w:val="00260442"/>
    <w:rsid w:val="0026183A"/>
    <w:rsid w:val="00262FFC"/>
    <w:rsid w:val="002859FB"/>
    <w:rsid w:val="002B48BA"/>
    <w:rsid w:val="00357446"/>
    <w:rsid w:val="0037560D"/>
    <w:rsid w:val="003766C4"/>
    <w:rsid w:val="003D0130"/>
    <w:rsid w:val="003D4F19"/>
    <w:rsid w:val="003E4ACC"/>
    <w:rsid w:val="0041179E"/>
    <w:rsid w:val="00451FFC"/>
    <w:rsid w:val="00481512"/>
    <w:rsid w:val="00493EB2"/>
    <w:rsid w:val="004A0689"/>
    <w:rsid w:val="004A696C"/>
    <w:rsid w:val="004D7834"/>
    <w:rsid w:val="004E715D"/>
    <w:rsid w:val="004F7D98"/>
    <w:rsid w:val="00503EB8"/>
    <w:rsid w:val="00505843"/>
    <w:rsid w:val="00551104"/>
    <w:rsid w:val="00567D6F"/>
    <w:rsid w:val="005A5329"/>
    <w:rsid w:val="005C1A98"/>
    <w:rsid w:val="005D1C71"/>
    <w:rsid w:val="005F0C58"/>
    <w:rsid w:val="005F1189"/>
    <w:rsid w:val="00604619"/>
    <w:rsid w:val="00613EF5"/>
    <w:rsid w:val="006463A5"/>
    <w:rsid w:val="006552FE"/>
    <w:rsid w:val="00656E28"/>
    <w:rsid w:val="006738F6"/>
    <w:rsid w:val="006E27D7"/>
    <w:rsid w:val="006E5C1D"/>
    <w:rsid w:val="006F39C1"/>
    <w:rsid w:val="006F596B"/>
    <w:rsid w:val="00743AD6"/>
    <w:rsid w:val="007503AB"/>
    <w:rsid w:val="0076171F"/>
    <w:rsid w:val="007703E6"/>
    <w:rsid w:val="007873B0"/>
    <w:rsid w:val="00792249"/>
    <w:rsid w:val="007A67AF"/>
    <w:rsid w:val="00800AD9"/>
    <w:rsid w:val="008146BF"/>
    <w:rsid w:val="008443F0"/>
    <w:rsid w:val="00885F59"/>
    <w:rsid w:val="008C491F"/>
    <w:rsid w:val="008D62D8"/>
    <w:rsid w:val="008F2091"/>
    <w:rsid w:val="00906BD0"/>
    <w:rsid w:val="009A3DCB"/>
    <w:rsid w:val="009B2E9D"/>
    <w:rsid w:val="009F7DA6"/>
    <w:rsid w:val="00A07712"/>
    <w:rsid w:val="00A616D2"/>
    <w:rsid w:val="00A80F31"/>
    <w:rsid w:val="00A91A9B"/>
    <w:rsid w:val="00AA1287"/>
    <w:rsid w:val="00AA2C75"/>
    <w:rsid w:val="00AA4F3E"/>
    <w:rsid w:val="00AA711C"/>
    <w:rsid w:val="00AB6D32"/>
    <w:rsid w:val="00AD66E5"/>
    <w:rsid w:val="00B079D2"/>
    <w:rsid w:val="00B15968"/>
    <w:rsid w:val="00B37BA9"/>
    <w:rsid w:val="00B40A08"/>
    <w:rsid w:val="00B467AE"/>
    <w:rsid w:val="00B5364D"/>
    <w:rsid w:val="00B7704F"/>
    <w:rsid w:val="00B93F26"/>
    <w:rsid w:val="00BE40E2"/>
    <w:rsid w:val="00C0353E"/>
    <w:rsid w:val="00C1518C"/>
    <w:rsid w:val="00C33D11"/>
    <w:rsid w:val="00C756CC"/>
    <w:rsid w:val="00C77057"/>
    <w:rsid w:val="00CA0900"/>
    <w:rsid w:val="00CB5E26"/>
    <w:rsid w:val="00CE3F93"/>
    <w:rsid w:val="00CF1AA4"/>
    <w:rsid w:val="00D21DB8"/>
    <w:rsid w:val="00D21FE4"/>
    <w:rsid w:val="00D25C75"/>
    <w:rsid w:val="00D61CB7"/>
    <w:rsid w:val="00D62A3E"/>
    <w:rsid w:val="00D86C2F"/>
    <w:rsid w:val="00D94CF8"/>
    <w:rsid w:val="00DC7650"/>
    <w:rsid w:val="00DD62A6"/>
    <w:rsid w:val="00DE640D"/>
    <w:rsid w:val="00E47918"/>
    <w:rsid w:val="00E656D2"/>
    <w:rsid w:val="00E65A59"/>
    <w:rsid w:val="00E70373"/>
    <w:rsid w:val="00E75A92"/>
    <w:rsid w:val="00E77BAE"/>
    <w:rsid w:val="00E90752"/>
    <w:rsid w:val="00EA5B56"/>
    <w:rsid w:val="00EB3C4C"/>
    <w:rsid w:val="00EB6DF2"/>
    <w:rsid w:val="00F0403B"/>
    <w:rsid w:val="00F16278"/>
    <w:rsid w:val="00F41CAF"/>
    <w:rsid w:val="00F81D42"/>
    <w:rsid w:val="00FA1830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E4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55110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51104"/>
  </w:style>
  <w:style w:type="paragraph" w:styleId="a6">
    <w:name w:val="header"/>
    <w:basedOn w:val="a"/>
    <w:link w:val="a7"/>
    <w:uiPriority w:val="99"/>
    <w:unhideWhenUsed/>
    <w:rsid w:val="00B4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67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67AE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B48B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B48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48BA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B48B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48BA"/>
  </w:style>
  <w:style w:type="character" w:customStyle="1" w:styleId="af">
    <w:name w:val="註解文字 字元"/>
    <w:basedOn w:val="a0"/>
    <w:link w:val="ae"/>
    <w:uiPriority w:val="99"/>
    <w:semiHidden/>
    <w:rsid w:val="002B48B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8B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B48B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B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B48BA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EA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E4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55110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51104"/>
  </w:style>
  <w:style w:type="paragraph" w:styleId="a6">
    <w:name w:val="header"/>
    <w:basedOn w:val="a"/>
    <w:link w:val="a7"/>
    <w:uiPriority w:val="99"/>
    <w:unhideWhenUsed/>
    <w:rsid w:val="00B4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67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6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67AE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B48B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B48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48BA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B48B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48BA"/>
  </w:style>
  <w:style w:type="character" w:customStyle="1" w:styleId="af">
    <w:name w:val="註解文字 字元"/>
    <w:basedOn w:val="a0"/>
    <w:link w:val="ae"/>
    <w:uiPriority w:val="99"/>
    <w:semiHidden/>
    <w:rsid w:val="002B48B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8B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B48B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B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B48BA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EA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46D0-598E-4712-97C7-27E1AE20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石豫臺</dc:creator>
  <cp:lastModifiedBy>楊文筑</cp:lastModifiedBy>
  <cp:revision>2</cp:revision>
  <cp:lastPrinted>2015-06-16T08:57:00Z</cp:lastPrinted>
  <dcterms:created xsi:type="dcterms:W3CDTF">2016-11-22T09:15:00Z</dcterms:created>
  <dcterms:modified xsi:type="dcterms:W3CDTF">2016-11-22T09:15:00Z</dcterms:modified>
</cp:coreProperties>
</file>